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90" w:rsidRDefault="003D67C2" w:rsidP="0063359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D67C2">
        <w:rPr>
          <w:b/>
          <w:sz w:val="24"/>
          <w:szCs w:val="24"/>
          <w:lang w:val="ru-RU"/>
        </w:rPr>
        <w:t>РОССИЙСКАЯ ФЕДЕРАЦИЯ</w:t>
      </w:r>
    </w:p>
    <w:p w:rsidR="00633590" w:rsidRDefault="003D67C2" w:rsidP="0063359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ИРКУТСКАЯ</w:t>
      </w:r>
      <w:r w:rsidRPr="003D67C2">
        <w:rPr>
          <w:b/>
          <w:sz w:val="24"/>
          <w:szCs w:val="24"/>
          <w:lang w:val="ru-RU"/>
        </w:rPr>
        <w:t>ОБЛАСТЬ</w:t>
      </w:r>
    </w:p>
    <w:p w:rsidR="00633590" w:rsidRDefault="003D67C2" w:rsidP="0063359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3D67C2">
        <w:rPr>
          <w:b/>
          <w:sz w:val="24"/>
          <w:szCs w:val="24"/>
          <w:lang w:val="ru-RU"/>
        </w:rPr>
        <w:t>УСТЬ-УДИНСКИЙ РАЙОН</w:t>
      </w:r>
    </w:p>
    <w:p w:rsidR="003D67C2" w:rsidRPr="003D67C2" w:rsidRDefault="00DD3063" w:rsidP="0063359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ЮГОЛОК</w:t>
      </w:r>
      <w:r w:rsidR="003D67C2" w:rsidRPr="003D67C2">
        <w:rPr>
          <w:b/>
          <w:sz w:val="24"/>
          <w:szCs w:val="24"/>
          <w:lang w:val="ru-RU"/>
        </w:rPr>
        <w:t>СКОЕ СЕЛЬСКОЕ ПОСЕЛЕНИЕ</w:t>
      </w:r>
    </w:p>
    <w:p w:rsidR="003D67C2" w:rsidRPr="003D67C2" w:rsidRDefault="003D67C2" w:rsidP="0063359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proofErr w:type="gramStart"/>
      <w:r w:rsidRPr="003D67C2">
        <w:rPr>
          <w:b/>
          <w:sz w:val="24"/>
          <w:szCs w:val="24"/>
          <w:lang w:val="ru-RU"/>
        </w:rPr>
        <w:t>Р</w:t>
      </w:r>
      <w:proofErr w:type="gramEnd"/>
      <w:r w:rsidRPr="003D67C2">
        <w:rPr>
          <w:b/>
          <w:sz w:val="24"/>
          <w:szCs w:val="24"/>
          <w:lang w:val="ru-RU"/>
        </w:rPr>
        <w:t xml:space="preserve"> А С П О Р Я Ж Е Н И Е</w:t>
      </w:r>
    </w:p>
    <w:p w:rsidR="003D67C2" w:rsidRPr="003D67C2" w:rsidRDefault="003D67C2" w:rsidP="003D67C2">
      <w:pPr>
        <w:jc w:val="center"/>
        <w:rPr>
          <w:lang w:val="ru-RU"/>
        </w:rPr>
      </w:pPr>
    </w:p>
    <w:p w:rsidR="00D8578F" w:rsidRPr="003D67C2" w:rsidRDefault="00D8578F" w:rsidP="003D67C2">
      <w:pPr>
        <w:pStyle w:val="2"/>
        <w:rPr>
          <w:rFonts w:ascii="Times New Roman" w:hAnsi="Times New Roman"/>
          <w:color w:val="auto"/>
          <w:sz w:val="24"/>
          <w:szCs w:val="24"/>
          <w:lang w:val="ru-RU"/>
        </w:rPr>
      </w:pPr>
      <w:r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«Об утверждении учетной полит</w:t>
      </w:r>
      <w:r w:rsidR="00E63F56"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ики для целей</w:t>
      </w:r>
      <w:r w:rsid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          </w:t>
      </w:r>
      <w:r w:rsidR="00E63F56"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бюджетного учета а</w:t>
      </w:r>
      <w:r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дминистрации </w:t>
      </w:r>
      <w:r w:rsidR="00DD3063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Юголок</w:t>
      </w:r>
      <w:r w:rsid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ского        </w:t>
      </w:r>
      <w:r w:rsidR="00DD3063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       </w:t>
      </w:r>
      <w:r w:rsid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</w:t>
      </w:r>
      <w:r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сельского</w:t>
      </w:r>
      <w:r w:rsid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п</w:t>
      </w:r>
      <w:r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о</w:t>
      </w:r>
      <w:r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селения</w:t>
      </w:r>
      <w:r w:rsidR="00E63F56"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E63F56"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Усть-Удинского</w:t>
      </w:r>
      <w:proofErr w:type="spellEnd"/>
      <w:r w:rsidR="00E63F56"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района</w:t>
      </w:r>
      <w:r w:rsidRPr="003D67C2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»</w:t>
      </w:r>
    </w:p>
    <w:p w:rsidR="004D7372" w:rsidRPr="003D67C2" w:rsidRDefault="00D8578F" w:rsidP="00D8578F">
      <w:pPr>
        <w:pStyle w:val="2"/>
        <w:rPr>
          <w:rFonts w:ascii="Times New Roman" w:hAnsi="Times New Roman"/>
          <w:color w:val="auto"/>
          <w:sz w:val="24"/>
          <w:szCs w:val="24"/>
          <w:lang w:val="ru-RU"/>
        </w:rPr>
      </w:pPr>
      <w:r w:rsidRP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DD3063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29</w:t>
      </w:r>
      <w:r w:rsidR="0052324E" w:rsidRP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декабря</w:t>
      </w:r>
      <w:r w:rsidRP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20</w:t>
      </w:r>
      <w:r w:rsidR="00EB6D4B" w:rsidRP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2</w:t>
      </w:r>
      <w:r w:rsidR="005B359C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2</w:t>
      </w:r>
      <w:r w:rsidRP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г.                                 </w:t>
      </w:r>
      <w:r w:rsidR="003D67C2" w:rsidRP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</w:t>
      </w:r>
      <w:r w:rsid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                      </w:t>
      </w:r>
      <w:r w:rsidRPr="0052324E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 xml:space="preserve">№ </w:t>
      </w:r>
      <w:r w:rsidR="00923D0B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7</w:t>
      </w:r>
      <w:r w:rsidR="005B359C">
        <w:rPr>
          <w:rStyle w:val="elementhandle"/>
          <w:rFonts w:ascii="Times New Roman" w:hAnsi="Times New Roman"/>
          <w:color w:val="auto"/>
          <w:sz w:val="24"/>
          <w:szCs w:val="24"/>
          <w:lang w:val="ru-RU"/>
        </w:rPr>
        <w:t>0</w:t>
      </w:r>
    </w:p>
    <w:p w:rsidR="004D7372" w:rsidRDefault="004D73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 w:rsidP="00923D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Во исполнение Закона от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 и приказа Минфина от 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157н, Федерального стандарта «Учетная политика, оценочные значения и оши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23D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утвержденного приказом Минфина от 30.12.2017 № 274н,</w:t>
      </w:r>
    </w:p>
    <w:p w:rsidR="00E33BFE" w:rsidRPr="00C05F57" w:rsidRDefault="00C05F57" w:rsidP="00923D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Утвердить учетную политику для целей бюджетного учета согласно приложению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ввести ее в действие с</w:t>
      </w:r>
      <w:r w:rsidR="00E63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 января 20</w:t>
      </w:r>
      <w:r w:rsidR="00B26E4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B359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33BFE" w:rsidRPr="00C05F57" w:rsidRDefault="00C05F57" w:rsidP="00923D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2. Довести до </w:t>
      </w:r>
      <w:r w:rsidR="00C53B07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соответствующие документы,</w:t>
      </w:r>
      <w:r w:rsidR="00C53B07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необходимые для обеспечения реализации учетной политики в учреждении и организации</w:t>
      </w:r>
      <w:r w:rsidR="00D8578F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уч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та, документооборота, санкционирования расходов учреждения.</w:t>
      </w:r>
    </w:p>
    <w:p w:rsidR="00E33BFE" w:rsidRPr="00C05F57" w:rsidRDefault="00C05F57" w:rsidP="00923D0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</w:t>
      </w:r>
      <w:r w:rsidR="0032058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возложить на </w:t>
      </w:r>
      <w:r w:rsidR="00C02005">
        <w:rPr>
          <w:rFonts w:hAnsi="Times New Roman" w:cs="Times New Roman"/>
          <w:color w:val="000000"/>
          <w:sz w:val="24"/>
          <w:szCs w:val="24"/>
          <w:lang w:val="ru-RU"/>
        </w:rPr>
        <w:t>главного специалиста Зорину Г.В.</w:t>
      </w:r>
    </w:p>
    <w:p w:rsidR="006E539F" w:rsidRDefault="006E539F" w:rsidP="006E539F">
      <w:pPr>
        <w:ind w:right="75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7980" w:rsidRDefault="00C87980" w:rsidP="006E539F">
      <w:pPr>
        <w:ind w:right="75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7980" w:rsidRDefault="00C87980" w:rsidP="006E539F">
      <w:pPr>
        <w:ind w:right="75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7980" w:rsidRDefault="00C87980" w:rsidP="006E539F">
      <w:pPr>
        <w:ind w:right="75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7980" w:rsidRDefault="00C87980" w:rsidP="006E539F">
      <w:pPr>
        <w:ind w:right="75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39F" w:rsidRPr="003D67C2" w:rsidRDefault="006E539F" w:rsidP="00C02005">
      <w:pPr>
        <w:spacing w:before="0" w:beforeAutospacing="0" w:after="0" w:afterAutospacing="0"/>
        <w:rPr>
          <w:sz w:val="24"/>
          <w:szCs w:val="24"/>
          <w:lang w:val="ru-RU"/>
        </w:rPr>
      </w:pPr>
      <w:r w:rsidRPr="003D67C2">
        <w:rPr>
          <w:sz w:val="24"/>
          <w:szCs w:val="24"/>
          <w:lang w:val="ru-RU"/>
        </w:rPr>
        <w:t xml:space="preserve">Глава </w:t>
      </w:r>
      <w:r w:rsidR="00923D0B">
        <w:rPr>
          <w:sz w:val="24"/>
          <w:szCs w:val="24"/>
          <w:lang w:val="ru-RU"/>
        </w:rPr>
        <w:t>администрации</w:t>
      </w:r>
      <w:r w:rsidRPr="003D67C2">
        <w:rPr>
          <w:sz w:val="24"/>
          <w:szCs w:val="24"/>
          <w:lang w:val="ru-RU"/>
        </w:rPr>
        <w:t xml:space="preserve">                            </w:t>
      </w:r>
      <w:r w:rsidR="00923D0B">
        <w:rPr>
          <w:sz w:val="24"/>
          <w:szCs w:val="24"/>
          <w:lang w:val="ru-RU"/>
        </w:rPr>
        <w:t xml:space="preserve">   </w:t>
      </w:r>
      <w:r w:rsidRPr="003D67C2">
        <w:rPr>
          <w:sz w:val="24"/>
          <w:szCs w:val="24"/>
          <w:lang w:val="ru-RU"/>
        </w:rPr>
        <w:t xml:space="preserve">                                                 </w:t>
      </w:r>
      <w:r w:rsidR="00923D0B">
        <w:rPr>
          <w:sz w:val="24"/>
          <w:szCs w:val="24"/>
          <w:lang w:val="ru-RU"/>
        </w:rPr>
        <w:t xml:space="preserve">И.С. </w:t>
      </w:r>
      <w:proofErr w:type="spellStart"/>
      <w:r w:rsidR="00923D0B">
        <w:rPr>
          <w:sz w:val="24"/>
          <w:szCs w:val="24"/>
          <w:lang w:val="ru-RU"/>
        </w:rPr>
        <w:t>Булатников</w:t>
      </w:r>
      <w:proofErr w:type="spellEnd"/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39F" w:rsidRDefault="006E539F" w:rsidP="006E53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39F" w:rsidRDefault="006E539F" w:rsidP="006E53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39F" w:rsidRDefault="006E539F" w:rsidP="006E539F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5F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распоряжению </w:t>
      </w:r>
      <w:r w:rsidRPr="00295F8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="00923D0B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5232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2324E" w:rsidRPr="0052324E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52324E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EB6D4B" w:rsidRPr="0052324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23D0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324E">
        <w:rPr>
          <w:rFonts w:hAnsi="Times New Roman" w:cs="Times New Roman"/>
          <w:color w:val="000000"/>
          <w:sz w:val="24"/>
          <w:szCs w:val="24"/>
          <w:lang w:val="ru-RU"/>
        </w:rPr>
        <w:t xml:space="preserve">   №</w:t>
      </w:r>
      <w:r w:rsidRPr="0052324E">
        <w:rPr>
          <w:rFonts w:hAnsi="Times New Roman" w:cs="Times New Roman"/>
          <w:color w:val="000000"/>
          <w:sz w:val="24"/>
          <w:szCs w:val="24"/>
        </w:rPr>
        <w:t> </w:t>
      </w:r>
      <w:r w:rsidR="00923D0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B359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E33BFE" w:rsidRPr="00C05F57" w:rsidRDefault="00C05F57" w:rsidP="00295F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</w:t>
      </w:r>
      <w:r w:rsidR="00923D0B">
        <w:rPr>
          <w:rFonts w:hAnsi="Times New Roman" w:cs="Times New Roman"/>
          <w:color w:val="000000"/>
          <w:sz w:val="24"/>
          <w:szCs w:val="24"/>
          <w:lang w:val="ru-RU"/>
        </w:rPr>
        <w:t>Юголок</w:t>
      </w:r>
      <w:r w:rsidR="003D67C2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  <w:proofErr w:type="spellStart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r w:rsidR="00C879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D3DE4">
        <w:rPr>
          <w:rFonts w:hAnsi="Times New Roman" w:cs="Times New Roman"/>
          <w:color w:val="000000"/>
          <w:sz w:val="24"/>
          <w:szCs w:val="24"/>
          <w:lang w:val="ru-RU"/>
        </w:rPr>
        <w:t>Удинского</w:t>
      </w:r>
      <w:proofErr w:type="spellEnd"/>
      <w:r w:rsidR="001D3DE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 w:rsidR="001D3DE4">
        <w:rPr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соответствии:</w:t>
      </w:r>
    </w:p>
    <w:p w:rsidR="00E33BFE" w:rsidRPr="005C0F1C" w:rsidRDefault="00C05F57" w:rsidP="00EA2EC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</w:t>
      </w:r>
      <w:r w:rsidR="0052324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утверждении Единого пл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(государственных 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ганов), органов местного самоуправления, органов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государственными вн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бюджетными фондами, государственных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академий наук, государственных (муниципал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ных) учреждений и Инструкции по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Инструкци</w:t>
      </w:r>
      <w:proofErr w:type="spellEnd"/>
      <w:r w:rsidR="0052324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Единому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счетов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№ 157н);</w:t>
      </w:r>
    </w:p>
    <w:p w:rsidR="00E33BFE" w:rsidRPr="005C0F1C" w:rsidRDefault="00C05F57" w:rsidP="00EA2EC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162н «Об утверждении Плана сч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 № 162н);</w:t>
      </w:r>
    </w:p>
    <w:p w:rsidR="00E33BFE" w:rsidRPr="005C0F1C" w:rsidRDefault="00C05F57" w:rsidP="00EA2EC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Минфина </w:t>
      </w:r>
      <w:r w:rsidR="005B35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24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5B359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</w:t>
      </w:r>
      <w:r w:rsidR="005B359C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</w:t>
      </w:r>
      <w:r w:rsidR="005B359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 «О Порядке формирования и применения кодов бюджетной классификации Российской Федерации, их структуре и принципах 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значения» (далее – приказ № 8</w:t>
      </w:r>
      <w:r w:rsidR="005B359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н);</w:t>
      </w:r>
    </w:p>
    <w:p w:rsidR="00E33BFE" w:rsidRPr="005C0F1C" w:rsidRDefault="00C05F57" w:rsidP="00EA2EC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Минфина от 29.11.2017 № 209н «Об утверждении </w:t>
      </w:r>
      <w:proofErr w:type="gram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применения классификации операций сектора государственного</w:t>
      </w:r>
      <w:proofErr w:type="gram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управления»</w:t>
      </w:r>
      <w:r w:rsidR="005B35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приказ № 209н);</w:t>
      </w:r>
    </w:p>
    <w:p w:rsidR="00E33BFE" w:rsidRPr="005B359C" w:rsidRDefault="00C05F57" w:rsidP="00EA2EC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30.03.2015 № 52н «Об утверждении форм первичных уче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документов и регистров бухгалтерского учета, применяемых органами государстве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пальными) учреждениями, и Методических указаний по их применению» 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№ 52н);</w:t>
      </w:r>
    </w:p>
    <w:p w:rsidR="005B359C" w:rsidRPr="005C0F1C" w:rsidRDefault="005B359C" w:rsidP="00EA2EC7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Минфина от 15.04.2021г. № 61н «Об утверждении унифицированных форм электронных документов бухгалтерского учета, применяемых при ведении бюдже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учета, бухгалтерского учета государственных (муниципальных) учреждений, и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тодических указаний по их формированию и применению» (далее – приказ № 61н;</w:t>
      </w:r>
    </w:p>
    <w:p w:rsidR="005C0F1C" w:rsidRPr="00EF7CCD" w:rsidRDefault="00C05F57" w:rsidP="00EF7CCD">
      <w:pPr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</w:t>
      </w:r>
      <w:r w:rsidR="005B359C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финансов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вержденными приказами Минфина от 31.12.2016 № 256н, № 257н, № 258н, № 259н, № 260н (</w:t>
      </w:r>
      <w:r w:rsidR="005B359C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соответственно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277н,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278н (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соответственно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 ошибки», СГС «Соб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тия после отчетной даты», 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СГС «Информация о</w:t>
      </w:r>
      <w:proofErr w:type="gramEnd"/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связанных </w:t>
      </w:r>
      <w:proofErr w:type="gramStart"/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сторонах</w:t>
      </w:r>
      <w:proofErr w:type="gramEnd"/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СГС «Отчет о дв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жении денежных средств»), от 27.02.2018 № 32н</w:t>
      </w:r>
      <w:r w:rsidR="000203E9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соответственно СГС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«Доходы»), от 28.02.2018 № 34н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2324E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соответственно СГС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Непроизведенные</w:t>
      </w:r>
      <w:proofErr w:type="spellEnd"/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активы»), от 30.05.2018 №122н, 124н (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соответственно СГС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«Влияние изменений курсов ин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странных валют», СГС «Резервы»), от 07.12.2018 № 256н (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соответственно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СГС </w:t>
      </w:r>
      <w:proofErr w:type="gramStart"/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«Запасы»), от 29.06.2018 № 145н</w:t>
      </w:r>
      <w:r w:rsidR="0052324E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соответственно 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СГС «Долгосрочные догов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ры»</w:t>
      </w:r>
      <w:r w:rsidR="000203E9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03E9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15.11.2019№ ,181н, 182н,183н, 184н (</w:t>
      </w:r>
      <w:r w:rsidR="004960C3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далее – соответственно </w:t>
      </w:r>
      <w:r w:rsidR="000203E9" w:rsidRPr="00EF7C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СГС «</w:t>
      </w:r>
      <w:hyperlink r:id="rId7" w:history="1">
        <w:r w:rsidR="000203E9" w:rsidRPr="00EF7CC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Нематериальные активы</w:t>
        </w:r>
      </w:hyperlink>
      <w:r w:rsidR="000203E9" w:rsidRPr="00EF7CCD">
        <w:rPr>
          <w:rFonts w:ascii="Times New Roman" w:hAnsi="Times New Roman" w:cs="Times New Roman"/>
          <w:sz w:val="24"/>
          <w:szCs w:val="24"/>
          <w:lang w:val="ru-RU"/>
        </w:rPr>
        <w:t>», СГС «Затраты по заимствованиям»,</w:t>
      </w:r>
      <w:r w:rsidR="00DB12FE" w:rsidRPr="00EF7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3E9" w:rsidRPr="00EF7CCD">
        <w:rPr>
          <w:rFonts w:ascii="Times New Roman" w:hAnsi="Times New Roman" w:cs="Times New Roman"/>
          <w:sz w:val="24"/>
          <w:szCs w:val="24"/>
          <w:lang w:val="ru-RU"/>
        </w:rPr>
        <w:t>СГС «Совместная де</w:t>
      </w:r>
      <w:r w:rsidR="000203E9" w:rsidRPr="00EF7CC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203E9" w:rsidRPr="00EF7CCD">
        <w:rPr>
          <w:rFonts w:ascii="Times New Roman" w:hAnsi="Times New Roman" w:cs="Times New Roman"/>
          <w:sz w:val="24"/>
          <w:szCs w:val="24"/>
          <w:lang w:val="ru-RU"/>
        </w:rPr>
        <w:t>тельность»,  СГС «Выплаты персоналу»</w:t>
      </w:r>
      <w:r w:rsidR="0052324E" w:rsidRPr="00EF7CC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203E9" w:rsidRPr="00EF7C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12FE" w:rsidRPr="00EF7CCD">
        <w:rPr>
          <w:rFonts w:ascii="Times New Roman" w:hAnsi="Times New Roman" w:cs="Times New Roman"/>
          <w:sz w:val="24"/>
          <w:szCs w:val="24"/>
          <w:lang w:val="ru-RU"/>
        </w:rPr>
        <w:t>от 30.06.2020г. №129н (</w:t>
      </w:r>
      <w:r w:rsidR="004960C3" w:rsidRPr="00EF7CCD">
        <w:rPr>
          <w:rFonts w:ascii="Times New Roman" w:hAnsi="Times New Roman" w:cs="Times New Roman"/>
          <w:sz w:val="24"/>
          <w:szCs w:val="24"/>
          <w:lang w:val="ru-RU"/>
        </w:rPr>
        <w:t xml:space="preserve">далее - соответственно </w:t>
      </w:r>
      <w:r w:rsidR="00DB12FE" w:rsidRPr="00EF7CCD">
        <w:rPr>
          <w:rFonts w:ascii="Times New Roman" w:hAnsi="Times New Roman" w:cs="Times New Roman"/>
          <w:sz w:val="24"/>
          <w:szCs w:val="24"/>
          <w:lang w:val="ru-RU"/>
        </w:rPr>
        <w:t>СГС «Финансовые инструменты»</w:t>
      </w:r>
      <w:r w:rsidR="0052324E" w:rsidRPr="00EF7CC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F7CCD" w:rsidRPr="00EF7C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7CCD" w:rsidRPr="00EF7CCD">
        <w:rPr>
          <w:lang w:val="ru-RU"/>
        </w:rPr>
        <w:t xml:space="preserve"> от 30.10.2020 № 254н (далее – СГС «Метод долевого уч</w:t>
      </w:r>
      <w:r w:rsidR="00EF7CCD" w:rsidRPr="00EF7CCD">
        <w:rPr>
          <w:lang w:val="ru-RU"/>
        </w:rPr>
        <w:t>а</w:t>
      </w:r>
      <w:r w:rsidR="00EF7CCD" w:rsidRPr="00EF7CCD">
        <w:rPr>
          <w:lang w:val="ru-RU"/>
        </w:rPr>
        <w:t>стия»), от 16.12.2020 № 310н (далее – СГС «Биологические активы»).</w:t>
      </w:r>
      <w:r w:rsidR="005C0F1C" w:rsidRPr="00EF7CCD">
        <w:rPr>
          <w:rFonts w:ascii="Times New Roman" w:hAnsi="Times New Roman" w:cs="Times New Roman"/>
          <w:sz w:val="24"/>
          <w:szCs w:val="24"/>
          <w:lang w:val="ru-RU"/>
        </w:rPr>
        <w:br w:type="page"/>
      </w:r>
      <w:proofErr w:type="gramEnd"/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Используемые термины и сокращения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51"/>
        <w:gridCol w:w="4709"/>
      </w:tblGrid>
      <w:tr w:rsidR="00E33BFE" w:rsidRPr="00EF7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C05F57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C0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C05F57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C0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Расшифровка </w:t>
            </w:r>
          </w:p>
        </w:tc>
      </w:tr>
      <w:tr w:rsidR="00E33BFE" w:rsidRPr="00DD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C05F57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1D3DE4" w:rsidP="00923D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923D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Юголок</w:t>
            </w:r>
            <w:r w:rsidR="00C02005"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сельского п</w:t>
            </w: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селения </w:t>
            </w:r>
            <w:proofErr w:type="spellStart"/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Усть-Удинского</w:t>
            </w:r>
            <w:proofErr w:type="spellEnd"/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E33BFE" w:rsidRPr="00DD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C05F57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C05F57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634565"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разряды</w:t>
            </w:r>
            <w:r w:rsidR="00634565"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4565"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бюджетной классиф</w:t>
            </w:r>
            <w:r w:rsidR="00634565"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4565"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кации  доходов, расходов</w:t>
            </w:r>
          </w:p>
        </w:tc>
      </w:tr>
      <w:tr w:rsidR="00E33BFE" w:rsidRPr="005C0F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E33BFE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5C0F1C" w:rsidRDefault="00634565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18-20</w:t>
            </w:r>
            <w:r w:rsidR="00C05F57"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5F57"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</w:t>
            </w:r>
            <w:r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="00C05F57"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C05F57"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соответствующая</w:t>
            </w:r>
            <w:proofErr w:type="spellEnd"/>
            <w:r w:rsidR="00C05F57"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4F12"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подстатья</w:t>
            </w:r>
            <w:proofErr w:type="spellEnd"/>
            <w:r w:rsidR="005E4F12" w:rsidRPr="005C0F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F57" w:rsidRPr="005C0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</w:tr>
      <w:tr w:rsidR="00E33BFE" w:rsidRPr="005C0F1C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5C0F1C" w:rsidRDefault="00E33BFE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5C0F1C" w:rsidRDefault="00E33BFE" w:rsidP="005C0F1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5C0F1C" w:rsidRPr="005C0F1C" w:rsidRDefault="005C0F1C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3664" w:rsidRPr="005C0F1C" w:rsidRDefault="00C05F57" w:rsidP="005C0F1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FB3664" w:rsidRPr="005C0F1C">
        <w:rPr>
          <w:rFonts w:ascii="Times New Roman" w:hAnsi="Times New Roman" w:cs="Times New Roman"/>
          <w:sz w:val="24"/>
          <w:szCs w:val="24"/>
          <w:lang w:val="ru-RU"/>
        </w:rPr>
        <w:t>Организацию и ведение бухгалтерского учета в Администрации</w:t>
      </w:r>
      <w:r w:rsidR="00E44CC2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3D0B">
        <w:rPr>
          <w:rFonts w:ascii="Times New Roman" w:hAnsi="Times New Roman" w:cs="Times New Roman"/>
          <w:sz w:val="24"/>
          <w:szCs w:val="24"/>
          <w:lang w:val="ru-RU"/>
        </w:rPr>
        <w:t>Юголок</w:t>
      </w:r>
      <w:r w:rsidR="00E44CC2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ского сельского поселения </w:t>
      </w:r>
      <w:proofErr w:type="spellStart"/>
      <w:r w:rsidR="00E44CC2" w:rsidRPr="005C0F1C">
        <w:rPr>
          <w:rFonts w:ascii="Times New Roman" w:hAnsi="Times New Roman" w:cs="Times New Roman"/>
          <w:sz w:val="24"/>
          <w:szCs w:val="24"/>
          <w:lang w:val="ru-RU"/>
        </w:rPr>
        <w:t>Усть-Удинского</w:t>
      </w:r>
      <w:proofErr w:type="spellEnd"/>
      <w:r w:rsidR="00E44CC2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="00FB3664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подведомственном</w:t>
      </w:r>
      <w:r w:rsidR="00FB3664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учреждени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B3664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МКУК «</w:t>
      </w:r>
      <w:r w:rsidR="00FB3664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КДЦ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3D0B">
        <w:rPr>
          <w:rFonts w:ascii="Times New Roman" w:hAnsi="Times New Roman" w:cs="Times New Roman"/>
          <w:color w:val="000000"/>
          <w:sz w:val="24"/>
          <w:szCs w:val="24"/>
          <w:lang w:val="ru-RU"/>
        </w:rPr>
        <w:t>Юголок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МО»</w:t>
      </w:r>
      <w:r w:rsidR="00FB3664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FB3664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главный </w:t>
      </w:r>
      <w:r w:rsidR="00923D0B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</w:t>
      </w:r>
      <w:r w:rsidR="00FB3664" w:rsidRPr="005C0F1C">
        <w:rPr>
          <w:rFonts w:ascii="Times New Roman" w:hAnsi="Times New Roman" w:cs="Times New Roman"/>
          <w:sz w:val="24"/>
          <w:szCs w:val="24"/>
          <w:lang w:val="ru-RU"/>
        </w:rPr>
        <w:t>Администрации в соответс</w:t>
      </w:r>
      <w:r w:rsidR="00FB3664" w:rsidRPr="005C0F1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B3664" w:rsidRPr="005C0F1C">
        <w:rPr>
          <w:rFonts w:ascii="Times New Roman" w:hAnsi="Times New Roman" w:cs="Times New Roman"/>
          <w:sz w:val="24"/>
          <w:szCs w:val="24"/>
          <w:lang w:val="ru-RU"/>
        </w:rPr>
        <w:t>вии с учетной политикой, сформированной согласно федеральному стандарту бухгалте</w:t>
      </w:r>
      <w:r w:rsidR="00FB3664" w:rsidRPr="005C0F1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B3664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ского учета государственного сектора. </w:t>
      </w:r>
    </w:p>
    <w:p w:rsidR="00FB3664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Основание: часть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  <w:r w:rsidR="00FB3664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02C6" w:rsidRDefault="00FB366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 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учреждении действуют постоянные комиссии: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комиссия по поступлению и выбытию активов (приложение 1);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инвентаризационная комиссия (приложение 2); </w:t>
      </w:r>
    </w:p>
    <w:p w:rsidR="007B29B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комиссия по проверке показаний </w:t>
      </w:r>
      <w:r w:rsidR="00AB528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дометров автотранспорта (приложение 3);</w:t>
      </w:r>
    </w:p>
    <w:p w:rsidR="00E33BFE" w:rsidRPr="005C0F1C" w:rsidRDefault="00FB366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Учреждение публикует основные положения учетной политики на своем официальном</w:t>
      </w:r>
      <w:r w:rsidR="00C05F57" w:rsidRPr="005C0F1C">
        <w:rPr>
          <w:rFonts w:ascii="Times New Roman" w:hAnsi="Times New Roman" w:cs="Times New Roman"/>
          <w:lang w:val="ru-RU"/>
        </w:rPr>
        <w:br/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E33BFE" w:rsidRPr="005C0F1C" w:rsidRDefault="00FB366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 внесении изменений в учетную политику </w:t>
      </w:r>
      <w:r w:rsidR="00845C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главный специалист финансово-экономической службы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оценивает в целях</w:t>
      </w:r>
      <w:r w:rsidR="001D3DE4" w:rsidRPr="005C0F1C">
        <w:rPr>
          <w:rFonts w:ascii="Times New Roman" w:hAnsi="Times New Roman" w:cs="Times New Roman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сопоставления отчетности существенность 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менения показателей, отражающих финансовое положение, финансовые результаты де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 учреждения и движение его денежных средств на основе своего професси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 суждения. Также на основе профессионального суждения оценивается сущес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5C0F1C" w:rsidRPr="005C0F1C" w:rsidRDefault="005C0F1C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F131DA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1С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F131DA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галтерия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учреждения, редакция 2.0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«Зарплата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кадры государстве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E44CC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учреждения, редакция 3.1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направлениям:</w:t>
      </w:r>
    </w:p>
    <w:p w:rsidR="00E33BFE" w:rsidRPr="005C0F1C" w:rsidRDefault="00C05F57" w:rsidP="00633590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казначейства;</w:t>
      </w:r>
    </w:p>
    <w:p w:rsidR="00E33BFE" w:rsidRPr="005C0F1C" w:rsidRDefault="00C05F57" w:rsidP="00633590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передача бухгалтерской отчетности </w:t>
      </w:r>
      <w:r w:rsidR="007B29B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финансовому управлению администрации Усть-Удинского района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33BFE" w:rsidRPr="005C0F1C" w:rsidRDefault="00C05F57" w:rsidP="00633590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налоговой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службы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633590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отчетности в отделение </w:t>
      </w:r>
      <w:r w:rsidR="00845C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фонда России;</w:t>
      </w:r>
    </w:p>
    <w:p w:rsidR="001F6B53" w:rsidRPr="005C0F1C" w:rsidRDefault="001F6B53" w:rsidP="00633590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 статистической отчетности;</w:t>
      </w:r>
    </w:p>
    <w:p w:rsidR="00E33BFE" w:rsidRPr="005C0F1C" w:rsidRDefault="00C05F57" w:rsidP="00633590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bus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31DA" w:rsidRPr="005C0F1C" w:rsidRDefault="00F131DA" w:rsidP="00633590">
      <w:pPr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96C3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«Электронный бюджет»</w:t>
      </w:r>
    </w:p>
    <w:p w:rsidR="00E33BFE" w:rsidRPr="005C0F1C" w:rsidRDefault="00C05F57" w:rsidP="0063359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E33BFE" w:rsidRPr="005C0F1C" w:rsidRDefault="00C05F57" w:rsidP="0063359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 w:rsidR="00E33BFE" w:rsidRPr="005C0F1C" w:rsidRDefault="00C05F57" w:rsidP="00633590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сервере  производится сохранение резервных копий базы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«Бухгалтерия»</w:t>
      </w:r>
      <w:r w:rsidR="007D7236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«Зарплата»;</w:t>
      </w:r>
    </w:p>
    <w:p w:rsidR="00E33BFE" w:rsidRPr="005C0F1C" w:rsidRDefault="00C05F57" w:rsidP="00633590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</w:t>
      </w:r>
      <w:r w:rsidR="005E4F1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 электронном виде, распечатываются на бумажный носитель и</w:t>
      </w:r>
      <w:r w:rsidR="005E4F1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подшиваются в 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дельные папки в хронологическом порядке.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5C0F1C" w:rsidRPr="005C0F1C" w:rsidRDefault="005C0F1C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Порядок и сроки передачи первичных учетных документов для отражения в бухучете устанавливаются в соответствии с приложением </w:t>
      </w:r>
      <w:r w:rsidR="00F963EF" w:rsidRPr="005C0F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настоящей учетной политике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вание: пункт 22 СГС «Концептуальные основы бухучета и отчетности», подпункт «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5E4F1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пункта 9 СГС «Учетная политика, оценочные значения и ошибки».</w:t>
      </w:r>
    </w:p>
    <w:p w:rsidR="00EA2EC7" w:rsidRDefault="0089331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Право подписи учетных документов предоставлено </w:t>
      </w:r>
      <w:r w:rsidR="00A953B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должностным </w:t>
      </w:r>
      <w:r w:rsidR="002A5E14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цам,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перечисленным в приложении </w:t>
      </w:r>
      <w:r w:rsidR="00F963EF" w:rsidRPr="005C0F1C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EA2EC7" w:rsidRDefault="0089331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Учреждение использует унифицированные формы первичных</w:t>
      </w:r>
      <w:r w:rsidR="00B47ECB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тов,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перечисленные в приложении 1 к приказу № 52н.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157н, подпункт «г» пункта 9 СГС «Учетная политика, оценочные значения и ошибки».</w:t>
      </w:r>
    </w:p>
    <w:p w:rsidR="00EA2EC7" w:rsidRDefault="0089331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При проведении хозяйственных операций, для оформления которых не предусмотрены типовые формы первичных документов, используются</w:t>
      </w:r>
      <w:r w:rsidR="00CE0441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унифицированные формы, допо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ненные необходимыми реквизитами. </w:t>
      </w:r>
    </w:p>
    <w:p w:rsidR="00893314" w:rsidRPr="005C0F1C" w:rsidRDefault="0089331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пункты 25–26 СГС «Концептуальные основы бухучета и отчетности», по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  «г» пункта 9 СГС «Учетная политика, оценочные значения и ошибки».</w:t>
      </w:r>
    </w:p>
    <w:p w:rsidR="00DE02C6" w:rsidRDefault="008D4EE9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Формирование электронных регистров бухучета осуществляется в следующем порядке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 уче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документы по датам совершения операций, дате принятия к учету первичного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документа;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учету, по мере внесения изменений (данных о переоценке, модернизации, реконструкции,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консервации 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д.) и при выбытии. </w:t>
      </w:r>
      <w:proofErr w:type="gramEnd"/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указанных событий</w:t>
      </w:r>
      <w:r w:rsidR="00EA2EC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ежегодно, на последний рабочий день года, со сведениями о начисленной амортизации;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инвентарная карточка группового учета основных средств оформляется при принятии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объектов к учету, по мере внесения изменений (данных о переоценке, модернизации,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конструкции, консервации 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д.) и при выбытии;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журналы операций</w:t>
      </w:r>
      <w:r w:rsidR="00204F8F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заполняются ежемесячно</w:t>
      </w:r>
      <w:r w:rsidR="00204F8F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главная книга в конце года;</w:t>
      </w: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 не установлено законодательством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РФ.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845C06" w:rsidRDefault="008D4EE9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Журнал операций расчетов по оплате труда, денежному довольствию и стипендиям (ф.0504071) ведется раздельно по кодам финансового обеспечения деятельности и ра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дельно по счетам: </w:t>
      </w:r>
    </w:p>
    <w:p w:rsidR="00845C0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КБК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1.302.11.000 «Расчеты по заработной плате» и КБК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1.302.13.000 «Расчеты по 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числениям на выплаты по оплате труда»; </w:t>
      </w:r>
    </w:p>
    <w:p w:rsidR="001F6B53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КБК Х.302.66.000 «Расчеты по социальным пособиям и компенсациям персоналу в 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нежной форме»</w:t>
      </w:r>
      <w:r w:rsidR="001F6B5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5C0F1C" w:rsidRDefault="008D4EE9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Журналам операций присваиваются номера согласно приложению </w:t>
      </w:r>
      <w:r w:rsidR="00CE0441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операций подписываются главным </w:t>
      </w:r>
      <w:r w:rsidR="00923D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специалистом</w:t>
      </w:r>
      <w:r w:rsidR="00A953B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составившим жу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операций.</w:t>
      </w:r>
    </w:p>
    <w:p w:rsidR="00E33BFE" w:rsidRPr="005C0F1C" w:rsidRDefault="008D4EE9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Первичные и сводные учетные документы, бухгалтерские регистры составляются в  форме электронного документа</w:t>
      </w:r>
      <w:r w:rsidR="002102F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2102F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бумажном носителе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102F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заверяются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квалифицированной электронной подписью и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собственноручной подписью.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 w:rsidR="00A953BE" w:rsidRPr="005C0F1C">
        <w:rPr>
          <w:rFonts w:ascii="Times New Roman" w:hAnsi="Times New Roman" w:cs="Times New Roman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 w:rsidR="00C05F57" w:rsidRPr="005C0F1C">
        <w:rPr>
          <w:rFonts w:ascii="Times New Roman" w:hAnsi="Times New Roman" w:cs="Times New Roman"/>
          <w:lang w:val="ru-RU"/>
        </w:rPr>
        <w:br/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 Ед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ному плану счетов № 157н, пункт 32 СГС «Концептуальные основы бухучета и отчетн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сти», Методические указания, утвержденные приказом Минфина от 30.03.2015 № 52н, статья 2 Закона от 06.04.2011 № 63-ФЗ.</w:t>
      </w:r>
    </w:p>
    <w:p w:rsidR="00DE02C6" w:rsidRDefault="008D4EE9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. В деятельности учреждения используются следующие бланки строгой отчетности: </w:t>
      </w:r>
    </w:p>
    <w:p w:rsidR="00937F1C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7048A" w:rsidRPr="005C0F1C">
        <w:rPr>
          <w:rFonts w:ascii="Times New Roman" w:hAnsi="Times New Roman" w:cs="Times New Roman"/>
          <w:sz w:val="24"/>
          <w:szCs w:val="24"/>
          <w:lang w:val="ru-RU"/>
        </w:rPr>
        <w:t>карты ГСМ</w:t>
      </w:r>
      <w:r w:rsidR="002A5E14" w:rsidRPr="005C0F1C">
        <w:rPr>
          <w:rFonts w:ascii="Times New Roman" w:hAnsi="Times New Roman" w:cs="Times New Roman"/>
          <w:sz w:val="24"/>
          <w:szCs w:val="24"/>
          <w:lang w:val="ru-RU"/>
        </w:rPr>
        <w:t>, дебетовая карта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Учет бланков ведется </w:t>
      </w:r>
      <w:r w:rsidR="001F6B53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на забалансовом счете 03  по </w:t>
      </w:r>
      <w:r w:rsidR="0067048A" w:rsidRPr="005C0F1C">
        <w:rPr>
          <w:rFonts w:ascii="Times New Roman" w:hAnsi="Times New Roman" w:cs="Times New Roman"/>
          <w:sz w:val="24"/>
          <w:szCs w:val="24"/>
          <w:lang w:val="ru-RU"/>
        </w:rPr>
        <w:t>1 руб.</w:t>
      </w:r>
      <w:r w:rsidR="00CE0441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048A" w:rsidRPr="005C0F1C">
        <w:rPr>
          <w:rFonts w:ascii="Times New Roman" w:hAnsi="Times New Roman" w:cs="Times New Roman"/>
          <w:sz w:val="24"/>
          <w:szCs w:val="24"/>
          <w:lang w:val="ru-RU"/>
        </w:rPr>
        <w:t>за 1 шт.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E33BFE" w:rsidRDefault="00937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. Перечень должностей сотрудников, ответственных за хранение  бланков строгой о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четности, приведен в приложении</w:t>
      </w:r>
      <w:r w:rsidR="00CE0441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5C0F1C" w:rsidRPr="005C0F1C" w:rsidRDefault="005C0F1C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Бюджетный учет ведется с использованием Рабочего плана счетов (приложение </w:t>
      </w:r>
      <w:r w:rsidR="00CE0441" w:rsidRPr="005C0F1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),</w:t>
      </w:r>
      <w:r w:rsidR="005E4F1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работанного в соответствии с Инструкцией к Единому плану счетов № 157н,</w:t>
      </w:r>
      <w:r w:rsidR="005E4F1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162н.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 w:rsidR="005C0F1C" w:rsidRDefault="005C0F1C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0F1C" w:rsidRPr="005C0F1C" w:rsidRDefault="005C0F1C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 w:rsidR="00434370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Положением о внутреннем финансовом контроле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 w:rsidR="004F308F" w:rsidRPr="005C0F1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Основание: пункт 3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157н, пункт 23 СГС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EA2EC7" w:rsidRDefault="00434370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</w:t>
      </w:r>
      <w:r w:rsidRPr="005C0F1C">
        <w:rPr>
          <w:rFonts w:ascii="Times New Roman" w:hAnsi="Times New Roman" w:cs="Times New Roman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бирает комиссия учреждения по поступлению и выбытию активов».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54 СГС «Концептуальные основы бухучета и отчетности».</w:t>
      </w: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 уст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новлен метод оценки в законодательстве и в настоящей учетной политике, то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величина оценочного показателя определяется профессиональным суждением </w:t>
      </w:r>
      <w:r w:rsidR="00923D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главного специал</w:t>
      </w:r>
      <w:r w:rsidR="00923D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23D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Основные средства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группе «Инвентарь производственный и хозяйственный», приведен в 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приложении</w:t>
      </w:r>
      <w:r w:rsidRPr="005C0F1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4F308F" w:rsidRPr="005C0F1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полезного и ожидаемого использования:</w:t>
      </w:r>
    </w:p>
    <w:p w:rsidR="00E33BFE" w:rsidRPr="005C0F1C" w:rsidRDefault="00C05F57" w:rsidP="00633590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объекты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2.3. Уникальный инвентарный номер состоит из </w:t>
      </w:r>
      <w:r w:rsidR="00C54BDB" w:rsidRPr="005C0F1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5779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знаков и присваивается в порядке: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>1-й разряд</w:t>
      </w:r>
      <w:r w:rsidRPr="005C0F1C">
        <w:rPr>
          <w:rFonts w:ascii="Times New Roman" w:hAnsi="Times New Roman" w:cs="Times New Roman"/>
          <w:sz w:val="24"/>
          <w:szCs w:val="24"/>
        </w:rPr>
        <w:t> 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A5E14" w:rsidRPr="005C0F1C">
        <w:rPr>
          <w:rFonts w:ascii="Times New Roman" w:hAnsi="Times New Roman" w:cs="Times New Roman"/>
          <w:sz w:val="24"/>
          <w:szCs w:val="24"/>
          <w:lang w:val="ru-RU"/>
        </w:rPr>
        <w:t>амортизационная группа</w:t>
      </w:r>
    </w:p>
    <w:p w:rsidR="00DE02C6" w:rsidRDefault="002A5E14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>2-6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-й </w:t>
      </w:r>
      <w:r w:rsidR="00EA4D5A" w:rsidRPr="005C0F1C">
        <w:rPr>
          <w:rFonts w:ascii="Times New Roman" w:hAnsi="Times New Roman" w:cs="Times New Roman"/>
          <w:sz w:val="24"/>
          <w:szCs w:val="24"/>
          <w:lang w:val="ru-RU"/>
        </w:rPr>
        <w:t>разряд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05F57" w:rsidRPr="005C0F1C">
        <w:rPr>
          <w:rFonts w:ascii="Times New Roman" w:hAnsi="Times New Roman" w:cs="Times New Roman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</w:p>
    <w:p w:rsidR="00C5779F" w:rsidRDefault="00C5779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7-10-й разряды – год приобретения основного средства</w:t>
      </w:r>
    </w:p>
    <w:p w:rsidR="00DE02C6" w:rsidRDefault="00C5779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A4D5A" w:rsidRPr="005C0F1C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-й разряды</w:t>
      </w:r>
      <w:r w:rsidR="00C05F57" w:rsidRPr="005C0F1C">
        <w:rPr>
          <w:rFonts w:ascii="Times New Roman" w:hAnsi="Times New Roman" w:cs="Times New Roman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sz w:val="24"/>
          <w:szCs w:val="24"/>
          <w:lang w:val="ru-RU"/>
        </w:rPr>
        <w:t>– порядковый номер нефинансового актива.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 xml:space="preserve"> счетов №</w:t>
      </w:r>
      <w:r w:rsidRPr="005C0F1C">
        <w:rPr>
          <w:rFonts w:ascii="Times New Roman" w:hAnsi="Times New Roman" w:cs="Times New Roman"/>
          <w:sz w:val="24"/>
          <w:szCs w:val="24"/>
        </w:rPr>
        <w:t> 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157н.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 инвентарный объект краской или водостойким маркером. В случае если объект является сложным (комплексом конструктивно сочлененных предметов), инвентарный номер об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значается на каждом составляющем элементе тем же способом, что и на сложном объекте.</w:t>
      </w:r>
    </w:p>
    <w:p w:rsidR="00E33BFE" w:rsidRP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 чи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при капитальном ремонте, включаются в момент их возникновения в стоимость объе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та. Одновременно с его стоимости списывается в текущие расходы стоимость заменяемых (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r w:rsidRP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 правило применяется к следующим группам о</w:t>
      </w:r>
      <w:r w:rsidRP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новных средств:</w:t>
      </w:r>
    </w:p>
    <w:p w:rsidR="00E33BFE" w:rsidRPr="005C0F1C" w:rsidRDefault="00C05F57" w:rsidP="00633590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машины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633590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транспортные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633590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инвентарь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производственный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хозяйственный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B42B7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E33BFE" w:rsidRPr="00DE02C6" w:rsidRDefault="00B42B7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2.6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Затраты на создание активов при проведении регулярных осмотров на предмет нал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чия дефектов, являющихся обязательным условием их эксплуатации, а также при пров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</w:t>
      </w:r>
      <w:r w:rsidR="00C05F57" w:rsidRP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 правило применяется к сл</w:t>
      </w:r>
      <w:r w:rsidR="00C05F57" w:rsidRP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05F57" w:rsidRP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дующим группам основных средств:</w:t>
      </w:r>
    </w:p>
    <w:p w:rsidR="00E33BFE" w:rsidRPr="005C0F1C" w:rsidRDefault="00C05F57" w:rsidP="00EA2EC7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машины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3590" w:rsidRDefault="00C05F57" w:rsidP="00EA2EC7">
      <w:pPr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средства;</w:t>
      </w:r>
    </w:p>
    <w:p w:rsidR="00E33BFE" w:rsidRPr="005C0F1C" w:rsidRDefault="00B42B7F" w:rsidP="006335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DE02C6" w:rsidRDefault="00B42B7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2.7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Начисление амортизации осуществляется следующим образом:</w:t>
      </w:r>
      <w:r w:rsidR="0043437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линейным методом – на объекты основных сре</w:t>
      </w:r>
      <w:proofErr w:type="gramStart"/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</w:t>
      </w:r>
      <w:r w:rsidR="00B7508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</w:t>
      </w:r>
      <w:proofErr w:type="gramEnd"/>
      <w:r w:rsidR="00B7508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оимостью более 100000 руб.</w:t>
      </w:r>
      <w:r w:rsidR="0043437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="00C039A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-100 % при вводе в эксплуатацию – на объекты основных средств стоимостью 10001-100000 руб.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DE02C6" w:rsidRDefault="00B42B7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2.8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</w:t>
      </w:r>
      <w:proofErr w:type="gramStart"/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дение объединяет такие части для определения суммы амортизации.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40 СГС «Основные средства».</w:t>
      </w:r>
    </w:p>
    <w:p w:rsidR="00DE02C6" w:rsidRDefault="00B42B7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2.9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переоценке объекта основных средств накопленная амортизация на дату пер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ненной стоимости. При этом балансовая стоимость и накопленная амортизация увелич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ваются (умножаются) на одинаковый коэффициент таким образом, чтобы при их сумм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ровании получить переоцененную стоимость на дату проведения переоценки.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41 СГС «Основные средства».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="00B42B7F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 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 комиссии по поступлению и выбытию активов установлен в приложении 1 настоящей Учетной политики.</w:t>
      </w:r>
    </w:p>
    <w:p w:rsidR="00E33BFE" w:rsidRPr="005C0F1C" w:rsidRDefault="00B42B7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000 руб. включительно, находящиеся в эк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плуатации, учитываются на забалансовом счете 21</w:t>
      </w:r>
      <w:r w:rsidR="00B7508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  <w:r w:rsidR="00C577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2E44AC" w:rsidRPr="005C0F1C" w:rsidRDefault="002E44A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Локально-вычислительная сеть (ЛВС) и охранно-пожарная сигнализация (ОПС) как отдельные инвентарные объекты не учитываются. Отдельные элементы ЛВС и ОПС,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средства», учитываются как отдельные основные средства. </w:t>
      </w:r>
    </w:p>
    <w:p w:rsidR="00E33BFE" w:rsidRDefault="002E44A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Расходы на доставку нескольких имущественных объектов распределяются в перв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начальную стоимость этих объектов пропорционально их стоимости, указанной в догов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 поставки.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0F1C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Материальные запасы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Учреждение учитывает в составе материальных запасов материальные объекты, ук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занные в пунктах 98–99 Инструкции к Единому плану счетов № 157н, а также произво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ственный и хозяйственный инвентарь, перечень которого приведен в</w:t>
      </w:r>
      <w:r w:rsidR="008A2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35D0" w:rsidRPr="005C0F1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Единица учета материальных запасов в учреждении – номенклатурная (реестровая) единица.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Исключение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3BFE" w:rsidRPr="005C0F1C" w:rsidRDefault="00C05F57" w:rsidP="00EA2EC7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</w:t>
      </w:r>
      <w:r w:rsidR="0021309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формата,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канцелярские</w:t>
      </w:r>
      <w:r w:rsidR="0021309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21309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одинаковым наимен</w:t>
      </w:r>
      <w:r w:rsidR="0021309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21309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ванием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 д. Единица учета таких материальных запасов – однородная (реестровая) группа запасов;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тия» принимает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A21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главный специалист финансово-экономической службы</w:t>
      </w:r>
      <w:r w:rsidR="0021309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своего профессионального суждения. Основание: пункт 8 СГС «Запасы».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 Списание материальных запасов производится по средней фактической стоимости. Основание: пункт 108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Нормы на расходы горюче-смазочных материалов (ГСМ) разрабатываются специал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зированной организацией и утверждаются </w:t>
      </w:r>
      <w:r w:rsidR="0038307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учрежд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Ежегодно </w:t>
      </w:r>
      <w:r w:rsidR="0038307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утверждаются период применения зимней надбавки 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нормам расхода </w:t>
      </w:r>
      <w:proofErr w:type="gram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ГСМ</w:t>
      </w:r>
      <w:proofErr w:type="gram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величина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выше норм, установленных </w:t>
      </w:r>
      <w:r w:rsidR="0038307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учреждения.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3.5 Выдача в эксплуатацию на нужды учреждения канцелярских принадлежностей, запа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частей и хозяйственных материалов оформляется Ведомостью выдачи материальных ценностей на нужды учреждения (ф. 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0504210).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 ведомость является основанием для списания материальных запасов.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Мягкий и хозяйственный инвентарь, посуда списываются по Акту о списании мягкого и</w:t>
      </w:r>
      <w:r w:rsidR="005E4F1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хозяйственного инвентаря (ф. 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0504143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материальных запасов (ф. 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0504230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Учет на забалансовом счете 09 «Запасные части к транспортным средствам,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выданные взамен </w:t>
      </w:r>
      <w:proofErr w:type="gram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изношенных</w:t>
      </w:r>
      <w:proofErr w:type="gram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ведется </w:t>
      </w:r>
      <w:r w:rsidR="0038307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балансовой стоимости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Учету подлежат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пизированные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E33BFE" w:rsidRPr="005C0F1C" w:rsidRDefault="00C05F57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автомобильные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шины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колесные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диски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аккумуляторы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наборы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автоинструмента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аптечки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огнетушители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6125" w:rsidRPr="005C0F1C" w:rsidRDefault="00286125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поршневая группа;</w:t>
      </w:r>
    </w:p>
    <w:p w:rsidR="00286125" w:rsidRPr="005C0F1C" w:rsidRDefault="00286125" w:rsidP="00EA2EC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генераторы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 w:rsidR="008A21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лиц.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Поступление на счет 09 отражается: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 запч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после списания со счета КБК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35D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1.105.36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«Прочие материальные запасы 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иное движимое имущество учреждения»;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 у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реждений с документальной передачей остатков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учету на указанном счете в соответствии с настоящей учетной политикой,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оприход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запчастей на счет 09 не производится.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ся: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</w:t>
      </w:r>
      <w:r w:rsidR="004855F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 лицу вместе с автомобилем.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Выбытие со счета 09 отражается: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8A211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</w:t>
      </w:r>
      <w:r w:rsidR="00434370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исходя </w:t>
      </w:r>
      <w:proofErr w:type="gram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8A211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их справедливой стоимости на дату принятия к бухгалтерскому учету, рассчитанной м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тодом рыночных цен; 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сумм, уплачиваемых учреждением за доставку материальных запасов, приведение их в состояние, пригодное для использования.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 в учреждение. Отклонения фактической стоимости материальных запасов от учетной цены отдельно в учете не отражаются.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18 СГС «Запасы».</w:t>
      </w: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 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19 СГС «Запасы».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Стоимость безвозмездно полученных нефинансовых активов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Данные о справедливой стоимости безвозмездно полученных нефинансовых активов должны быть подтверждены документально:</w:t>
      </w:r>
    </w:p>
    <w:p w:rsidR="00DE02C6" w:rsidRDefault="0085157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DE02C6" w:rsidRDefault="0085157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прайс-листами заводов-изготовителей;</w:t>
      </w:r>
    </w:p>
    <w:p w:rsidR="00DE02C6" w:rsidRDefault="0085157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DE02C6" w:rsidRDefault="0085157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информацией, размещенной в СМИ, и т. д.</w:t>
      </w:r>
      <w:r w:rsidR="00DE02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 эк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пертным путем.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 Расчеты по доходам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Учреждение осуществляет бюджетные полномочия </w:t>
      </w:r>
      <w:r w:rsidR="002167B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главного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администратора доходов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бюджета. Порядок </w:t>
      </w:r>
      <w:proofErr w:type="gram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полномочий</w:t>
      </w:r>
      <w:r w:rsidR="002167B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главного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администратора доходов бюджета</w:t>
      </w:r>
      <w:proofErr w:type="gram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России и нормативными 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кументами ведомства.</w:t>
      </w:r>
      <w:r w:rsidR="002167B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Перечень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администрируемых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доходов утверждается главным адм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нистратором доходов</w:t>
      </w:r>
      <w:r w:rsidR="002167B3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бюджета</w:t>
      </w:r>
      <w:r w:rsidR="004855F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 Расчеты с подотчетными лицами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Денежные средства выдаются под отчет на основании </w:t>
      </w:r>
      <w:r w:rsidR="00112D2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материально-ответственного лица, утвержденного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руководителем. Выдача денежных средств под отчет</w:t>
      </w:r>
      <w:r w:rsidR="00112D2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производится путем: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перечисления на</w:t>
      </w:r>
      <w:r w:rsidR="00866F71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дебетовую или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зарплатную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карту материально</w:t>
      </w:r>
      <w:r w:rsidR="006B463D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лица.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 выдачи денежных средств должен </w:t>
      </w:r>
      <w:r w:rsidR="00132411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в </w:t>
      </w:r>
      <w:r w:rsidR="00112D2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материально-ответственного лица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Учреждение выдает денежные средства под отчет штатным сотрудникам, а также 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цам, которые не состоят в штате, на основании отдельного </w:t>
      </w:r>
      <w:r w:rsidR="00866F71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руководителя. Расчеты по выданным суммам проходят в порядке, установленном для штатных</w:t>
      </w:r>
      <w:r w:rsidR="00866F71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сотру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Предельная сумма выдачи денежных средств под отчет (за исключением расходов на командировки) устанавливается 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размере</w:t>
      </w:r>
      <w:r w:rsidR="00112D2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="00132411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000 (</w:t>
      </w:r>
      <w:r w:rsidR="00112D28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тридцать</w:t>
      </w:r>
      <w:r w:rsidR="00132411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тысяч)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руб.</w:t>
      </w: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цами) в соответствии с указанием Центрального банка.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6 указания ЦБ от 07.10.2013 № 3073-У.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6.4. Денежные средства выдаются под отчет на хозяйственные нужды на срок, который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 указал в заявлении на выдачу денежных средств под отчет, но не более </w:t>
      </w:r>
      <w:r w:rsidR="008C6EA6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дней. По истечении этого срока сотрудник должен отчитаться в течение трех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бочих дней.</w:t>
      </w:r>
    </w:p>
    <w:p w:rsidR="00132411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При направлении сотрудников учреждения в служебные командировки на территории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расходы на них возмещаются в соответствии с постановлением Правительства от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02.10.2002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729.</w:t>
      </w:r>
    </w:p>
    <w:p w:rsidR="005C0F1C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Возмещение расходов на служебные командировки</w:t>
      </w:r>
      <w:r w:rsidR="005C6C55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превышающих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азмер</w:t>
      </w:r>
      <w:r w:rsidR="005C6C55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Правительством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 w:rsidR="005C0F1C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оформленного приказом.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729.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оформления служебных командировок и возмещения командировочных расходов приведен в приложении </w:t>
      </w:r>
      <w:r w:rsidR="005C6C55" w:rsidRPr="005C0F1C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По возвращении из командировки сотрудник представляет авансовый отчет об изра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ходованных суммах в течение трех рабочих дней.</w:t>
      </w:r>
      <w:r w:rsidR="0063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749.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6.7. Предельные сроки отчета по выданным доверенностям на получение материальных ценностей устанавливаются следующие: 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течение 10 календарных дней с момента получения;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течение трех рабочих дней с момента получения материальных ценностей. Доверенн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выдаются штатным сотрудникам, с которыми заключен договор о полной материал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ответственности</w:t>
      </w:r>
      <w:r w:rsidR="002167B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лицам, которые не состоят в штате, на основании отдельного распоряжения руководителя.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Авансовые отчеты брошюруются в хронологическом порядке в последний день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отчетного месяца.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 Расчеты с дебиторами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Учреждение администрирует поступления в бюджет на счете КБК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1.210.02.000 по правилам, установленным главным администратором доходов бюджета.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Излишне полученные от плательщиков средства возвращаются на основании заявл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плательщика и акта сверки с плательщиком.</w:t>
      </w:r>
      <w:r w:rsidR="00E07EA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ставщиков (подрядчиков), Бухгалтерской справки (ф. 0504833).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6EA6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 Расчеты по обязательствам</w:t>
      </w:r>
    </w:p>
    <w:p w:rsidR="00633590" w:rsidRDefault="00561FFD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8.1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Аналитический учет расчетов по пособиям и иным социальным выплатам ведется в разрезе физических лиц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получателей социальных выплат.</w:t>
      </w:r>
    </w:p>
    <w:p w:rsidR="00E33BFE" w:rsidRDefault="00561FFD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BE480D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9. Дебиторская и кредиторская задолженность</w:t>
      </w:r>
    </w:p>
    <w:p w:rsidR="00EA2EC7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Дебиторская задолженность списывается с учета после того, как комиссия по посту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лению и выбытию активов признает ее сомнительной или безнадежной к взысканию</w:t>
      </w:r>
      <w:r w:rsidR="00544AD6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рядке, утвержденном положением о признании дебиторской задолженности</w:t>
      </w:r>
      <w:r w:rsidR="00544AD6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сомнител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ной и безнадежной к взысканию</w:t>
      </w:r>
      <w:r w:rsidR="000F17D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spellStart"/>
      <w:r w:rsidR="000F17D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="000F17D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счет 04 «Задолженность неплатежесп</w:t>
      </w:r>
      <w:r w:rsidR="000F17D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0F17D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собных дебиторов»</w:t>
      </w:r>
      <w:r w:rsidR="00DF3B1F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Кредиторская задолженность, не востребованная кредитором, списывается на фина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совый результат на основании решения инвентаризационной комиссии о признании з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долженности невостребованной.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задолженность отражается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забалансовом счете 20 «Задолженность, не востреб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ванная кредиторами».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учета задолженность списывается на основании решения инвентаризац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онной комиссии учреждения:</w:t>
      </w:r>
      <w:r w:rsidR="0085157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по истечении </w:t>
      </w:r>
      <w:r w:rsidR="00544AD6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трех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 отражения задолженности на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учете;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по завершении </w:t>
      </w:r>
      <w:proofErr w:type="gram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 возможного возобновления процедуры взыскания задолженности</w:t>
      </w:r>
      <w:proofErr w:type="gram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при наличии документов, подтверждающих прекращение обязательства в связи со сме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 (ликвидацией) контрагента.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 w:rsidR="0063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(кредитору).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10. Финансовый результат</w:t>
      </w:r>
    </w:p>
    <w:p w:rsidR="00531B98" w:rsidRPr="005C0F1C" w:rsidRDefault="00531B98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>10.1. Учреждение все расходы производит в соответствии с утвержденной на отчетный</w:t>
      </w:r>
      <w:r w:rsidR="00633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год бюджетной сметой и в пределах установленных норм:</w:t>
      </w:r>
    </w:p>
    <w:p w:rsidR="00E33BFE" w:rsidRPr="005C0F1C" w:rsidRDefault="00C05F57" w:rsidP="00EA2EC7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sz w:val="24"/>
          <w:szCs w:val="24"/>
          <w:lang w:val="ru-RU"/>
        </w:rPr>
        <w:t>на междугородние переговоры, услуги по доступу в Интернет – по фактическому</w:t>
      </w:r>
      <w:r w:rsidR="00A20A63" w:rsidRPr="005C0F1C">
        <w:rPr>
          <w:rFonts w:ascii="Times New Roman" w:hAnsi="Times New Roman" w:cs="Times New Roman"/>
          <w:lang w:val="ru-RU"/>
        </w:rPr>
        <w:t xml:space="preserve"> </w:t>
      </w:r>
      <w:r w:rsidR="00F01A80">
        <w:rPr>
          <w:rFonts w:ascii="Times New Roman" w:hAnsi="Times New Roman" w:cs="Times New Roman"/>
          <w:sz w:val="24"/>
          <w:szCs w:val="24"/>
          <w:lang w:val="ru-RU"/>
        </w:rPr>
        <w:t>расходу.</w:t>
      </w:r>
    </w:p>
    <w:p w:rsidR="00633590" w:rsidRDefault="00DF3B1F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F01A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расходов будущих периодов на счете 1.401.50.000 «Расходы будущих п</w:t>
      </w:r>
      <w:r w:rsidR="00F01A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F01A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риодов» отражаются:</w:t>
      </w:r>
    </w:p>
    <w:p w:rsidR="00F01A80" w:rsidRDefault="00F01A80" w:rsidP="00F01A80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на страхование имущества, гражданской ответственности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1A80" w:rsidRDefault="00F01A80" w:rsidP="00F01A80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плата за сертификат ключа ЭЦП, сопровождение программ, сопровождение сайта организации</w:t>
      </w:r>
    </w:p>
    <w:p w:rsidR="00F01A80" w:rsidRDefault="00F01A80" w:rsidP="00F01A80">
      <w:pPr>
        <w:tabs>
          <w:tab w:val="left" w:pos="851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будущих периодов списываются на финансовый результат текущего финансов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го года равномерно по 1/12 за месяц в течение периода, к которому они относятся. Пер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од, к которому относятся расходы, равен сроку действия договора.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157н.</w:t>
      </w:r>
    </w:p>
    <w:p w:rsidR="00F01A80" w:rsidRDefault="00F01A80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10.3. </w:t>
      </w:r>
      <w:r w:rsidR="00531B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учреждении создается резерв на предстоящую оплату отпусков. Порядок расчета резерва приведен в приложении 12;</w:t>
      </w:r>
    </w:p>
    <w:p w:rsidR="00531B98" w:rsidRDefault="00531B98" w:rsidP="00531B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157н, пункты 7, 21 СГС  «Резервы».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11. Санкционирование расходов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бюджетных (денежных) обязательств к учету </w:t>
      </w:r>
      <w:r w:rsidR="00A5372B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пределах лим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</w:t>
      </w:r>
      <w:r w:rsidR="00A5372B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</w:t>
      </w:r>
      <w:r w:rsidR="00DF3B1F" w:rsidRPr="005C0F1C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12. События после отчетной даты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 осуществляется в порядке, приведенном в приложении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F3B1F" w:rsidRPr="005C0F1C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13. Непроизведенные активы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Объект</w:t>
      </w:r>
      <w:r w:rsidR="00531B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непроизведенных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активов</w:t>
      </w:r>
      <w:r w:rsidR="008E7A8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учитываются</w:t>
      </w:r>
      <w:r w:rsidR="008E7A8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7A8E" w:rsidRPr="005C0F1C" w:rsidRDefault="008E7A8E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7136C3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земельные участки</w:t>
      </w:r>
      <w:r w:rsidR="0063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счете 1.103.11.000 «Земля - недвижимое имущество учреждения»</w:t>
      </w:r>
      <w:r w:rsidR="0063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BE480D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дороги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 счете 1.108.55.000 «Непроизведенные активы, составляющие казну»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7 СГС «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Непроизведенные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активы».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DE02C6" w:rsidRPr="005C0F1C" w:rsidRDefault="00DE02C6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</w:t>
      </w:r>
      <w:r w:rsidR="00531B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</w:t>
      </w:r>
      <w:r w:rsidR="00531B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числящихся на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забаланс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вов)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постоянно действующая инвентаризационная комиссия.</w:t>
      </w:r>
      <w:r w:rsidR="00EC192B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и гр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проведения инвентаризации приведены в приложении </w:t>
      </w:r>
      <w:r w:rsidR="00C3142E" w:rsidRPr="005C0F1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хищения, стихийных бедствиях и т.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E33BFE" w:rsidRDefault="00EC192B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Руководителями  структурных подразделений</w:t>
      </w:r>
      <w:r w:rsidR="00C3142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(КДЦ)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создаются инвентаризационные комиссии из числа сотрудников подразделения приказом по подразделению.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5C0F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5C0F1C" w:rsidRPr="005C0F1C" w:rsidRDefault="005C0F1C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 к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миссии постоянный текущий контроль в ходе своей деятельности осуществляют в рамках своих полномочий:</w:t>
      </w:r>
    </w:p>
    <w:p w:rsidR="00DE02C6" w:rsidRDefault="00DE02C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E53BF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глава администрации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E02C6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781F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главный специалист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</w:t>
      </w:r>
      <w:r w:rsidR="00E53BF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(дире</w:t>
      </w:r>
      <w:r w:rsidR="00E53BF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E53BF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 КДЦ)</w:t>
      </w: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 пр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верок финансово-хозяйственной деятельности приведены в приложении</w:t>
      </w:r>
      <w:r w:rsidR="00C3142E" w:rsidRPr="005C0F1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C3142E" w:rsidRPr="005C0F1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C0F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DE02C6" w:rsidRPr="005C0F1C" w:rsidRDefault="00DE02C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Default="00C05F57" w:rsidP="00DE02C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DE02C6" w:rsidRPr="005C0F1C" w:rsidRDefault="00DE02C6" w:rsidP="00DE02C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жетным законодательством (приказ Минфина от 28.12.2010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191н). Бюджетная отче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пред</w:t>
      </w:r>
      <w:r w:rsidR="00C3142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ставляется </w:t>
      </w:r>
      <w:r w:rsidR="00C3142E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финансовому управлению  администрации Усть-Удинского района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установленные им сроки.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 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формационной системе</w:t>
      </w:r>
      <w:r w:rsidR="00E53BF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Бумажная копия комплекта отчетности хранится </w:t>
      </w:r>
      <w:r w:rsidR="0085157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администр</w:t>
      </w:r>
      <w:r w:rsidR="0085157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85157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</w:p>
    <w:p w:rsidR="00E33BFE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часть 7.1 статьи 13 Закона от 06.12.2011 №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402-ФЗ.</w:t>
      </w:r>
    </w:p>
    <w:p w:rsidR="00DE02C6" w:rsidRPr="005C0F1C" w:rsidRDefault="00DE02C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3590" w:rsidRDefault="00C05F57" w:rsidP="00DE02C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</w:p>
    <w:p w:rsidR="00E33BFE" w:rsidRDefault="00C05F57" w:rsidP="00DE02C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DE02C6" w:rsidRPr="005C0F1C" w:rsidRDefault="00DE02C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3590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уполномоченному должностному лицу учреждения (далее – уполномоченное лицо)</w:t>
      </w:r>
      <w:r w:rsidR="00E53BF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</w:t>
      </w:r>
      <w:r w:rsidR="00E53BF2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3BF2" w:rsidRPr="005C0F1C" w:rsidRDefault="00E53BF2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 рук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водителя учреждения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05F5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 коми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сии, создаваемой в учреждении.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терских документов. К акту прилагается перечень передаваемых документов, их колич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 и тип.</w:t>
      </w:r>
      <w:r w:rsidR="00E07EA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достатки и нарушения в организации работы бухгалтерии.</w:t>
      </w:r>
      <w:r w:rsidR="00E07EA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 приема-передачи подпис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вается уполномоченным лицом, принимающим дела, и членами комиссии.</w:t>
      </w:r>
      <w:r w:rsidR="00E07EA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мости члены комиссии включают в акт свои рекомендации и предложения, которые во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никли при приеме-передаче дел.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сотрудники</w:t>
      </w:r>
      <w:r w:rsidRPr="005C0F1C">
        <w:rPr>
          <w:rFonts w:ascii="Times New Roman" w:hAnsi="Times New Roman" w:cs="Times New Roman"/>
          <w:lang w:val="ru-RU"/>
        </w:rPr>
        <w:br/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приказом на передачу бухгалтерских</w:t>
      </w:r>
      <w:r w:rsidR="00E53BF2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Передаются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пок,</w:t>
      </w:r>
      <w:r w:rsidR="00A20A63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обоснования к планам;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</w:t>
      </w:r>
      <w:r w:rsidR="00A20A63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налоговые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регистры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 w:rsidR="00A20A63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акты о результатах полной инвентаризации имущества </w:t>
      </w:r>
      <w:r w:rsidR="00DB7A1D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 кассы учреждения;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 w:rsidR="00A20A63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акты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ревизий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</w:rPr>
        <w:t>проверок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 w:rsidR="00A20A63" w:rsidRPr="005C0F1C">
        <w:rPr>
          <w:rFonts w:ascii="Times New Roman" w:hAnsi="Times New Roman" w:cs="Times New Roman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нительные органы;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бланки строгой отчетности;</w:t>
      </w:r>
    </w:p>
    <w:p w:rsidR="00E33BFE" w:rsidRPr="005C0F1C" w:rsidRDefault="00C05F57" w:rsidP="0063359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 рук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водитель и (или) уполномоченное лицо излагают их в письменной форме в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присутствии комиссии.</w:t>
      </w:r>
      <w:r w:rsidR="00E07EA0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 w:rsidR="00EA2E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большие по объему замечания допускается фиксировать на самом акте.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 у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реждении.</w:t>
      </w:r>
    </w:p>
    <w:p w:rsidR="00E33BFE" w:rsidRPr="005C0F1C" w:rsidRDefault="00C05F5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Акт приема-передачи дел составляется в </w:t>
      </w:r>
      <w:r w:rsidR="009E688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экземплярах: 1-й </w:t>
      </w:r>
      <w:proofErr w:type="spellStart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</w:t>
      </w:r>
      <w:r w:rsidR="009E688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увольняемому</w:t>
      </w:r>
      <w:proofErr w:type="spellEnd"/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лицу</w:t>
      </w:r>
      <w:r w:rsidR="009E6887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-й экземпляр –  лицу, которое</w:t>
      </w:r>
      <w:r w:rsidRPr="005C0F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E07EA0" w:rsidRDefault="00851577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1FF6" w:rsidRDefault="00781FF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1FF6" w:rsidRDefault="00781FF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:rsidR="00781FF6" w:rsidRDefault="00781FF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1FF6" w:rsidRDefault="00781FF6" w:rsidP="005C0F1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781FF6" w:rsidP="005C0F1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3B63EF" w:rsidRPr="005C0F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Главный специалист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3B63EF">
        <w:rPr>
          <w:rFonts w:hAnsi="Times New Roman" w:cs="Times New Roman"/>
          <w:color w:val="000000"/>
          <w:sz w:val="24"/>
          <w:szCs w:val="24"/>
          <w:lang w:val="ru-RU"/>
        </w:rPr>
        <w:t>Г.В. Зорина</w:t>
      </w:r>
    </w:p>
    <w:sectPr w:rsidR="00E33BFE" w:rsidRPr="00C05F57" w:rsidSect="006E539F">
      <w:pgSz w:w="12240" w:h="15840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58" w:rsidRDefault="00977C58" w:rsidP="003D67C2">
      <w:pPr>
        <w:spacing w:before="0" w:after="0"/>
      </w:pPr>
      <w:r>
        <w:separator/>
      </w:r>
    </w:p>
  </w:endnote>
  <w:endnote w:type="continuationSeparator" w:id="0">
    <w:p w:rsidR="00977C58" w:rsidRDefault="00977C58" w:rsidP="003D67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58" w:rsidRDefault="00977C58" w:rsidP="003D67C2">
      <w:pPr>
        <w:spacing w:before="0" w:after="0"/>
      </w:pPr>
      <w:r>
        <w:separator/>
      </w:r>
    </w:p>
  </w:footnote>
  <w:footnote w:type="continuationSeparator" w:id="0">
    <w:p w:rsidR="00977C58" w:rsidRDefault="00977C58" w:rsidP="003D67C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5A05CE"/>
    <w:rsid w:val="00002C4B"/>
    <w:rsid w:val="000203E9"/>
    <w:rsid w:val="000347AF"/>
    <w:rsid w:val="0004727E"/>
    <w:rsid w:val="00050C28"/>
    <w:rsid w:val="000705EB"/>
    <w:rsid w:val="000B273F"/>
    <w:rsid w:val="000C3D6B"/>
    <w:rsid w:val="000F17D7"/>
    <w:rsid w:val="00103711"/>
    <w:rsid w:val="00104239"/>
    <w:rsid w:val="00112D28"/>
    <w:rsid w:val="00132411"/>
    <w:rsid w:val="00153E35"/>
    <w:rsid w:val="00155CE4"/>
    <w:rsid w:val="00190351"/>
    <w:rsid w:val="00196C3C"/>
    <w:rsid w:val="00197B68"/>
    <w:rsid w:val="001A258C"/>
    <w:rsid w:val="001D3DE4"/>
    <w:rsid w:val="001D5478"/>
    <w:rsid w:val="001F6B53"/>
    <w:rsid w:val="002047AB"/>
    <w:rsid w:val="00204F16"/>
    <w:rsid w:val="00204F8F"/>
    <w:rsid w:val="002102F7"/>
    <w:rsid w:val="00213093"/>
    <w:rsid w:val="002167B3"/>
    <w:rsid w:val="00241EBB"/>
    <w:rsid w:val="00286125"/>
    <w:rsid w:val="00295F82"/>
    <w:rsid w:val="002A5E14"/>
    <w:rsid w:val="002C493F"/>
    <w:rsid w:val="002C5260"/>
    <w:rsid w:val="002D33B1"/>
    <w:rsid w:val="002D3591"/>
    <w:rsid w:val="002E44AC"/>
    <w:rsid w:val="002E4959"/>
    <w:rsid w:val="002F6951"/>
    <w:rsid w:val="0032058D"/>
    <w:rsid w:val="003514A0"/>
    <w:rsid w:val="003635D0"/>
    <w:rsid w:val="00383078"/>
    <w:rsid w:val="003B63EF"/>
    <w:rsid w:val="003C3952"/>
    <w:rsid w:val="003D67C2"/>
    <w:rsid w:val="003D6C37"/>
    <w:rsid w:val="00434370"/>
    <w:rsid w:val="00447B8B"/>
    <w:rsid w:val="0048254C"/>
    <w:rsid w:val="004855F8"/>
    <w:rsid w:val="00485908"/>
    <w:rsid w:val="004960C3"/>
    <w:rsid w:val="004B6B50"/>
    <w:rsid w:val="004D05B1"/>
    <w:rsid w:val="004D7372"/>
    <w:rsid w:val="004F308F"/>
    <w:rsid w:val="004F7E17"/>
    <w:rsid w:val="00502781"/>
    <w:rsid w:val="00522208"/>
    <w:rsid w:val="0052324E"/>
    <w:rsid w:val="00531B98"/>
    <w:rsid w:val="00533BA3"/>
    <w:rsid w:val="00544AD6"/>
    <w:rsid w:val="00561FFD"/>
    <w:rsid w:val="00565773"/>
    <w:rsid w:val="00570549"/>
    <w:rsid w:val="005A05CE"/>
    <w:rsid w:val="005A3F2F"/>
    <w:rsid w:val="005B359C"/>
    <w:rsid w:val="005C0F1C"/>
    <w:rsid w:val="005C1FC8"/>
    <w:rsid w:val="005C245E"/>
    <w:rsid w:val="005C6C55"/>
    <w:rsid w:val="005D1889"/>
    <w:rsid w:val="005E4F12"/>
    <w:rsid w:val="00602AA8"/>
    <w:rsid w:val="006248E3"/>
    <w:rsid w:val="00633590"/>
    <w:rsid w:val="00634565"/>
    <w:rsid w:val="00653AF6"/>
    <w:rsid w:val="0067048A"/>
    <w:rsid w:val="00676682"/>
    <w:rsid w:val="00676882"/>
    <w:rsid w:val="006B463D"/>
    <w:rsid w:val="006B5FE4"/>
    <w:rsid w:val="006E539F"/>
    <w:rsid w:val="0070484E"/>
    <w:rsid w:val="00705B9E"/>
    <w:rsid w:val="007130A2"/>
    <w:rsid w:val="007136C3"/>
    <w:rsid w:val="007673FF"/>
    <w:rsid w:val="00781FF6"/>
    <w:rsid w:val="00783138"/>
    <w:rsid w:val="007955C4"/>
    <w:rsid w:val="007B29BE"/>
    <w:rsid w:val="007C5676"/>
    <w:rsid w:val="007D7236"/>
    <w:rsid w:val="00841387"/>
    <w:rsid w:val="00845C06"/>
    <w:rsid w:val="00851577"/>
    <w:rsid w:val="00866F71"/>
    <w:rsid w:val="00867A1C"/>
    <w:rsid w:val="00893314"/>
    <w:rsid w:val="00895DC5"/>
    <w:rsid w:val="008A1D6C"/>
    <w:rsid w:val="008A211E"/>
    <w:rsid w:val="008A33B8"/>
    <w:rsid w:val="008C6EA6"/>
    <w:rsid w:val="008D02DD"/>
    <w:rsid w:val="008D16A6"/>
    <w:rsid w:val="008D4EE9"/>
    <w:rsid w:val="008E7A8E"/>
    <w:rsid w:val="0091160E"/>
    <w:rsid w:val="0091660C"/>
    <w:rsid w:val="00923D0B"/>
    <w:rsid w:val="00937F1C"/>
    <w:rsid w:val="00977C58"/>
    <w:rsid w:val="009C1CD0"/>
    <w:rsid w:val="009D1658"/>
    <w:rsid w:val="009D7502"/>
    <w:rsid w:val="009E6887"/>
    <w:rsid w:val="00A06CD2"/>
    <w:rsid w:val="00A17443"/>
    <w:rsid w:val="00A20A63"/>
    <w:rsid w:val="00A356F7"/>
    <w:rsid w:val="00A504A4"/>
    <w:rsid w:val="00A5372B"/>
    <w:rsid w:val="00A73263"/>
    <w:rsid w:val="00A85731"/>
    <w:rsid w:val="00A95180"/>
    <w:rsid w:val="00A953BE"/>
    <w:rsid w:val="00A966CA"/>
    <w:rsid w:val="00AB5287"/>
    <w:rsid w:val="00AF4D6F"/>
    <w:rsid w:val="00AF6F23"/>
    <w:rsid w:val="00B20BE2"/>
    <w:rsid w:val="00B26E46"/>
    <w:rsid w:val="00B35DCB"/>
    <w:rsid w:val="00B42B7F"/>
    <w:rsid w:val="00B47ECB"/>
    <w:rsid w:val="00B514F6"/>
    <w:rsid w:val="00B545FF"/>
    <w:rsid w:val="00B54F14"/>
    <w:rsid w:val="00B73A5A"/>
    <w:rsid w:val="00B7508E"/>
    <w:rsid w:val="00BA5CB1"/>
    <w:rsid w:val="00BE480D"/>
    <w:rsid w:val="00C02005"/>
    <w:rsid w:val="00C039AC"/>
    <w:rsid w:val="00C05F57"/>
    <w:rsid w:val="00C3142E"/>
    <w:rsid w:val="00C31B57"/>
    <w:rsid w:val="00C53B07"/>
    <w:rsid w:val="00C54BDB"/>
    <w:rsid w:val="00C5779F"/>
    <w:rsid w:val="00C67A31"/>
    <w:rsid w:val="00C7265B"/>
    <w:rsid w:val="00C87980"/>
    <w:rsid w:val="00CA1612"/>
    <w:rsid w:val="00CD4FF0"/>
    <w:rsid w:val="00CE0441"/>
    <w:rsid w:val="00D14C99"/>
    <w:rsid w:val="00D47464"/>
    <w:rsid w:val="00D534F0"/>
    <w:rsid w:val="00D623E9"/>
    <w:rsid w:val="00D65C9F"/>
    <w:rsid w:val="00D800DB"/>
    <w:rsid w:val="00D8578F"/>
    <w:rsid w:val="00DB12FE"/>
    <w:rsid w:val="00DB7A1D"/>
    <w:rsid w:val="00DD3063"/>
    <w:rsid w:val="00DE02C6"/>
    <w:rsid w:val="00DF3B1F"/>
    <w:rsid w:val="00E07EA0"/>
    <w:rsid w:val="00E14996"/>
    <w:rsid w:val="00E22F77"/>
    <w:rsid w:val="00E246AC"/>
    <w:rsid w:val="00E32FBE"/>
    <w:rsid w:val="00E33BFE"/>
    <w:rsid w:val="00E438A1"/>
    <w:rsid w:val="00E44CC2"/>
    <w:rsid w:val="00E53BF2"/>
    <w:rsid w:val="00E63363"/>
    <w:rsid w:val="00E63F56"/>
    <w:rsid w:val="00E774F5"/>
    <w:rsid w:val="00E94FB3"/>
    <w:rsid w:val="00EA2EC7"/>
    <w:rsid w:val="00EA4D5A"/>
    <w:rsid w:val="00EB6D4B"/>
    <w:rsid w:val="00EC192B"/>
    <w:rsid w:val="00EE0D38"/>
    <w:rsid w:val="00EF7CCD"/>
    <w:rsid w:val="00F01A80"/>
    <w:rsid w:val="00F01E19"/>
    <w:rsid w:val="00F02D2F"/>
    <w:rsid w:val="00F1233A"/>
    <w:rsid w:val="00F12CC7"/>
    <w:rsid w:val="00F131DA"/>
    <w:rsid w:val="00F87C1C"/>
    <w:rsid w:val="00F963EF"/>
    <w:rsid w:val="00FB3664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5F82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2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handle">
    <w:name w:val="element_handle"/>
    <w:basedOn w:val="a0"/>
    <w:rsid w:val="00D8578F"/>
  </w:style>
  <w:style w:type="paragraph" w:styleId="a4">
    <w:name w:val="header"/>
    <w:basedOn w:val="a"/>
    <w:link w:val="a5"/>
    <w:uiPriority w:val="99"/>
    <w:semiHidden/>
    <w:unhideWhenUsed/>
    <w:rsid w:val="003D67C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7C2"/>
  </w:style>
  <w:style w:type="paragraph" w:styleId="a6">
    <w:name w:val="footer"/>
    <w:basedOn w:val="a"/>
    <w:link w:val="a7"/>
    <w:uiPriority w:val="99"/>
    <w:semiHidden/>
    <w:unhideWhenUsed/>
    <w:rsid w:val="003D67C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67C2"/>
  </w:style>
  <w:style w:type="paragraph" w:styleId="a8">
    <w:name w:val="List Paragraph"/>
    <w:basedOn w:val="a"/>
    <w:uiPriority w:val="34"/>
    <w:qFormat/>
    <w:rsid w:val="00FB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erk.ru/doc/5066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svet</cp:lastModifiedBy>
  <cp:revision>97</cp:revision>
  <cp:lastPrinted>2024-04-09T00:31:00Z</cp:lastPrinted>
  <dcterms:created xsi:type="dcterms:W3CDTF">2011-11-02T04:15:00Z</dcterms:created>
  <dcterms:modified xsi:type="dcterms:W3CDTF">2024-04-09T00:34:00Z</dcterms:modified>
</cp:coreProperties>
</file>